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b w:val="0"/>
          <w:bCs w:val="0"/>
          <w:kern w:val="2"/>
          <w:sz w:val="44"/>
          <w:szCs w:val="44"/>
        </w:rPr>
      </w:pPr>
      <w:r>
        <w:rPr>
          <w:rFonts w:hint="eastAsia" w:ascii="黑体" w:hAnsi="宋体" w:eastAsia="黑体" w:cs="黑体"/>
          <w:b w:val="0"/>
          <w:bCs w:val="0"/>
          <w:kern w:val="2"/>
          <w:sz w:val="44"/>
          <w:szCs w:val="44"/>
          <w:lang w:val="en-US" w:eastAsia="zh-CN" w:bidi="ar"/>
        </w:rPr>
        <w:t>2025-2026年度车辆加油、添加燃料服务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b w:val="0"/>
          <w:bCs w:val="0"/>
          <w:kern w:val="2"/>
          <w:sz w:val="32"/>
          <w:szCs w:val="32"/>
        </w:rPr>
      </w:pPr>
      <w:r>
        <w:rPr>
          <w:rFonts w:hint="eastAsia" w:ascii="黑体" w:hAnsi="宋体" w:eastAsia="黑体" w:cs="黑体"/>
          <w:b w:val="0"/>
          <w:bCs w:val="0"/>
          <w:kern w:val="2"/>
          <w:sz w:val="44"/>
          <w:szCs w:val="44"/>
          <w:lang w:val="en-US" w:eastAsia="zh-CN" w:bidi="ar"/>
        </w:rPr>
        <w:t>开放式框架协议采购需</w:t>
      </w:r>
      <w:bookmarkStart w:id="0" w:name="_GoBack"/>
      <w:bookmarkEnd w:id="0"/>
      <w:r>
        <w:rPr>
          <w:rFonts w:hint="eastAsia" w:ascii="黑体" w:hAnsi="宋体" w:eastAsia="黑体" w:cs="黑体"/>
          <w:b w:val="0"/>
          <w:bCs w:val="0"/>
          <w:kern w:val="2"/>
          <w:sz w:val="44"/>
          <w:szCs w:val="44"/>
          <w:lang w:val="en-US" w:eastAsia="zh-CN" w:bidi="ar"/>
        </w:rPr>
        <w:t>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一、适用范围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鄂州市财政预算单位使用财政性资金多频次、小额度采购车辆加油、添加燃料服务的活动。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二、采购内容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本项目采购符合国家相关标准（车用乙醇汽油应符合（国VI）GB18351-2017、车用柴油（国VI）应符合GB19147-2016）的质量要求，供应商所经销油品必须从国家正规炼油厂、国有石油公司采购，保证油品的质量。供应商应保证使用IC卡或电子油卡加油，并能全省通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三、价格确定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eastAsia" w:ascii="仿宋" w:hAnsi="仿宋" w:eastAsia="仿宋" w:cs="宋体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最高限制单价（折扣率）：99%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eastAsia" w:ascii="仿宋" w:hAnsi="仿宋" w:eastAsia="仿宋" w:cs="宋体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1.由供应商人根据自身实力提出切实可行的书面优惠价格等承诺。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eastAsia" w:ascii="仿宋" w:hAnsi="仿宋" w:eastAsia="仿宋" w:cs="宋体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2.IC卡推行过程中，各单位首批IC卡供应商应免费提供。在使用过程中如有损坏或遗失，在补办过程中供应商可就IC卡本身收取不超过10元/张的工本费。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四、供应商确定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default" w:ascii="华文楷体" w:hAnsi="华文楷体" w:eastAsia="华文楷体" w:cs="华文楷体"/>
          <w:kern w:val="2"/>
          <w:sz w:val="32"/>
          <w:szCs w:val="32"/>
          <w:lang w:val="en-US" w:eastAsia="zh-CN" w:bidi="ar"/>
        </w:rPr>
        <w:t>(一)资格条件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"/>
        </w:rPr>
        <w:t>供应商需具有有效期内的《成品油经营许可证》、《危险化学品经营许可证》。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default" w:ascii="华文楷体" w:hAnsi="华文楷体" w:eastAsia="华文楷体" w:cs="华文楷体"/>
          <w:kern w:val="2"/>
          <w:sz w:val="32"/>
          <w:szCs w:val="32"/>
          <w:lang w:val="en-US" w:eastAsia="zh-CN" w:bidi="ar"/>
        </w:rPr>
        <w:t>(二)入围供应商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第一阶段，由征集人在“鄂州市政府采购框架协议电子平台”上征集入围供应商。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征集人在收到供应商申请后7个工作日内完成审核。审核结束后2个工作日内发布入围结果公告。供应商可按公告中的联系方式获知本单位的资格审查情况。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640" w:firstLineChars="200"/>
        <w:jc w:val="both"/>
        <w:rPr>
          <w:rFonts w:hint="eastAsia" w:ascii="仿宋" w:hAnsi="仿宋" w:eastAsia="仿宋" w:cs="Helvetica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凡符合资格条件、响应征集文件要求并经审查合格的供应商，均可成为本项目入围供应商。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default" w:ascii="华文楷体" w:hAnsi="华文楷体" w:eastAsia="华文楷体" w:cs="华文楷体"/>
          <w:kern w:val="2"/>
          <w:sz w:val="32"/>
          <w:szCs w:val="32"/>
          <w:lang w:val="en-US" w:eastAsia="zh-CN" w:bidi="ar"/>
        </w:rPr>
        <w:t>(三)成交供应商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第二阶段,由采购人在“鄂州市政府采购框架协议电子平台”上确定成交供应商。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Style w:val="4"/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本项目第二阶段成交供应商按直接选定方式确定。采购人或者服务对象依据入围产品价格、质量以及服务便利性、用户评价等因素，从第一阶段入围供应商中直接选定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五、执行期限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框架协议签订之日起至2026年12月31日止。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六、采购程序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default" w:ascii="华文楷体" w:hAnsi="华文楷体" w:eastAsia="华文楷体" w:cs="华文楷体"/>
          <w:kern w:val="2"/>
          <w:sz w:val="32"/>
          <w:szCs w:val="32"/>
          <w:lang w:val="en-US" w:eastAsia="zh-CN" w:bidi="ar"/>
        </w:rPr>
        <w:t>(一)编报采购需求和计划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。采购人依据集中采购目录和批复的政府采购预算，通过“省预算管理一体化--政府采购管理系统”申报政府采购计划，具体内容包括政府采购项目的名称、采购标的、预算金额、采购数量、组织形式、采购方式、采购政策(节能、环保、包装以及低碳等方面)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default" w:ascii="华文楷体" w:hAnsi="华文楷体" w:eastAsia="华文楷体" w:cs="华文楷体"/>
          <w:kern w:val="2"/>
          <w:sz w:val="32"/>
          <w:szCs w:val="32"/>
          <w:lang w:val="en-US" w:eastAsia="zh-CN" w:bidi="ar"/>
        </w:rPr>
        <w:t>(二)择优选定成交供应商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。本项目第二阶段成交供应商按直接选定方式确定。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default" w:ascii="华文楷体" w:hAnsi="华文楷体" w:eastAsia="华文楷体" w:cs="华文楷体"/>
          <w:kern w:val="2"/>
          <w:sz w:val="32"/>
          <w:szCs w:val="32"/>
          <w:lang w:val="en-US" w:eastAsia="zh-CN" w:bidi="ar"/>
        </w:rPr>
        <w:t>(三)签订及公示合同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。根据框架协议采购合同和具体项目的协议采购情况，采购人应当与成交供应商签订采购合同，不得擅自改变框架协议约定的合同实质性条款。采购合同签订后，应在 2个工作日内将合同上传至“省预算管理一体化--政府采购管理系统”及“鄂州市政府采购框架协议电子平台”进行公示。采购合同应为固定价格合同，列明实际采购数量或计量方式。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default" w:ascii="华文楷体" w:hAnsi="华文楷体" w:eastAsia="华文楷体" w:cs="华文楷体"/>
          <w:kern w:val="2"/>
          <w:sz w:val="32"/>
          <w:szCs w:val="32"/>
          <w:lang w:val="en-US" w:eastAsia="zh-CN" w:bidi="ar"/>
        </w:rPr>
        <w:t>(四)履约验收及付款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。采购人应当强化政府采购“全过程”理念，建立验收机制、细化验收方案、出具验收意见，进一步压实履约验收主体责任。验收合格后按照合同约定的方式及时支付资金。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七、其他事项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175"/>
        <w:jc w:val="both"/>
        <w:rPr>
          <w:rFonts w:hint="eastAsia" w:ascii="仿宋" w:hAnsi="仿宋" w:eastAsia="仿宋" w:cs="Times New Roman"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"/>
        </w:rPr>
        <w:t>协议期有效内，如产品（服务）标准及价格发生变更、升级换代或替代的，入围供应商应当通过系统向征集人发起变更申请，经征集人审核通过后生效。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 w:firstLineChars="175"/>
        <w:jc w:val="both"/>
        <w:rPr>
          <w:rFonts w:hint="eastAsia" w:ascii="仿宋" w:hAnsi="仿宋" w:eastAsia="仿宋" w:cs="Times New Roman"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"/>
        </w:rPr>
        <w:t>1.申请产品（服务）信息变更、升级换代或用新服务替代的，变更后的产品（服务）标准、产品（服务）内容等不得低于原入围产品（服务）标准及内容。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"/>
        </w:rPr>
        <w:t>2.申请价格变更的，变更后的价格不得高于原入围价格。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jYTJlNDliODZkODhlYTFjNmY3YzY0YjczNDM5NjAifQ=="/>
    <w:docVar w:name="KSO_WPS_MARK_KEY" w:val="941e5c43-9a62-4512-b6be-9fce43955f59"/>
  </w:docVars>
  <w:rsids>
    <w:rsidRoot w:val="2F24178B"/>
    <w:rsid w:val="2F24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3"/>
    <w:uiPriority w:val="0"/>
    <w:rPr>
      <w:rFonts w:hint="default" w:ascii="华文仿宋" w:hAnsi="华文仿宋" w:eastAsia="华文仿宋" w:cs="华文仿宋"/>
      <w:color w:val="000000"/>
      <w:sz w:val="28"/>
      <w:szCs w:val="28"/>
    </w:rPr>
  </w:style>
  <w:style w:type="character" w:customStyle="1" w:styleId="5">
    <w:name w:val="10"/>
    <w:basedOn w:val="3"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2025-02-08T01:48:00Z</dcterms:created>
  <dc:creator>胡靖</dc:creator>
  <cp:lastModifiedBy>胡靖</cp:lastModifiedBy>
  <dcterms:modified xsi:type="dcterms:W3CDTF">2025-02-08T01:49:12Z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EC781B8BA6354E079689D25DAF5BCCC2</vt:lpwstr>
  </property>
</Properties>
</file>