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3" w:firstLineChars="200"/>
        <w:jc w:val="center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3" w:firstLineChars="200"/>
        <w:jc w:val="center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3" w:firstLineChars="200"/>
        <w:jc w:val="center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line="600" w:lineRule="exact"/>
        <w:jc w:val="center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鄂州公共资源文〔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号</w:t>
      </w:r>
    </w:p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关于印发《市公共资源交易监督管理局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信访举报工作规定》的通知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局各科室、采购中心、交易中心：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为进一步规范我局信访举报办理工作，经研究，制定《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市公共资源交易监督管理局信访举报工作规定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》，现印发给你们，请认真执行。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鄂州市公共资源交易监督管理局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2018年11月30日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鄂州市公共资源交易监督管理局    2018年11月30日印发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鄂州市公共资源交易监督管理局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信访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举报</w:t>
      </w:r>
      <w:r>
        <w:rPr>
          <w:rFonts w:hint="eastAsia" w:ascii="方正小标宋简体" w:hAnsi="宋体" w:eastAsia="方正小标宋简体" w:cs="宋体"/>
          <w:sz w:val="44"/>
          <w:szCs w:val="44"/>
        </w:rPr>
        <w:t>工作规定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numPr>
          <w:numId w:val="0"/>
        </w:numPr>
        <w:spacing w:line="5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第一章  总  则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为规范信访举报办理工作，保护信访举报人的合法权益，根据《信访条例》、《湖北省信访条例》、《湖北省公共资源招标投标监督管理条例》，结合我局工作实际，制定本规定。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信访举报经确认凡属于受理范围的，综合科应当及时进行受理登记；不属于受理范围的应做好解释工作。综合科负责信访与举报的受理、登记和管理工作。 </w:t>
      </w:r>
    </w:p>
    <w:p>
      <w:pPr>
        <w:pStyle w:val="8"/>
        <w:widowControl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本规定所指信访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举报</w:t>
      </w:r>
      <w:r>
        <w:rPr>
          <w:rFonts w:hint="eastAsia" w:ascii="仿宋" w:hAnsi="仿宋" w:eastAsia="仿宋" w:cs="仿宋"/>
          <w:sz w:val="32"/>
          <w:szCs w:val="32"/>
        </w:rPr>
        <w:t>，包括人民群众来信来访、信访部门转办（交办）以及市长热线、亲民热线、领导信箱等途径反映到市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公共资源交易监督管理局</w:t>
      </w:r>
      <w:r>
        <w:rPr>
          <w:rFonts w:hint="eastAsia" w:ascii="仿宋" w:hAnsi="仿宋" w:eastAsia="仿宋" w:cs="仿宋"/>
          <w:sz w:val="32"/>
          <w:szCs w:val="32"/>
        </w:rPr>
        <w:t>的信访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与举报</w:t>
      </w:r>
      <w:r>
        <w:rPr>
          <w:rFonts w:hint="eastAsia" w:ascii="仿宋" w:hAnsi="仿宋" w:eastAsia="仿宋" w:cs="仿宋"/>
          <w:sz w:val="32"/>
          <w:szCs w:val="32"/>
        </w:rPr>
        <w:t>工作事项。</w:t>
      </w:r>
    </w:p>
    <w:p>
      <w:pPr>
        <w:pStyle w:val="8"/>
        <w:widowControl w:val="0"/>
        <w:spacing w:line="540" w:lineRule="exact"/>
        <w:ind w:firstLine="63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条  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信访举报</w:t>
      </w:r>
      <w:r>
        <w:rPr>
          <w:rFonts w:hint="eastAsia" w:ascii="仿宋" w:hAnsi="仿宋" w:eastAsia="仿宋" w:cs="仿宋"/>
          <w:sz w:val="32"/>
          <w:szCs w:val="32"/>
        </w:rPr>
        <w:t>反映的问题，应及时用“呈阅笺”形式，送请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领导阅批。</w:t>
      </w:r>
    </w:p>
    <w:p>
      <w:pPr>
        <w:pStyle w:val="8"/>
        <w:widowControl w:val="0"/>
        <w:spacing w:line="540" w:lineRule="exact"/>
        <w:ind w:firstLine="63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条  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信访举报</w:t>
      </w:r>
      <w:r>
        <w:rPr>
          <w:rFonts w:hint="eastAsia" w:ascii="仿宋" w:hAnsi="仿宋" w:eastAsia="仿宋" w:cs="仿宋"/>
          <w:sz w:val="32"/>
          <w:szCs w:val="32"/>
        </w:rPr>
        <w:t>，凡属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机关职责范围、能够处理的必须迅速处理；凡须交下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</w:rPr>
        <w:t>单位或其他部门处理的，应及时归口交办，并限期督办处理情况或结果。</w:t>
      </w:r>
    </w:p>
    <w:p>
      <w:pPr>
        <w:pStyle w:val="8"/>
        <w:widowControl w:val="0"/>
        <w:spacing w:line="540" w:lineRule="exact"/>
        <w:ind w:firstLine="63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条  接到人民群众控告、检举机关干部或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属事业单位工作人员不良作风和违法乱纪行为的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信访举报事项</w:t>
      </w:r>
      <w:r>
        <w:rPr>
          <w:rFonts w:hint="eastAsia" w:ascii="仿宋" w:hAnsi="仿宋" w:eastAsia="仿宋" w:cs="仿宋"/>
          <w:sz w:val="32"/>
          <w:szCs w:val="32"/>
        </w:rPr>
        <w:t>，应及时转交市纪委派驻城建委纪检组处理。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条  上级机关或其他单位转交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承办的信访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举报事项</w:t>
      </w:r>
      <w:r>
        <w:rPr>
          <w:rFonts w:hint="eastAsia" w:ascii="仿宋" w:hAnsi="仿宋" w:eastAsia="仿宋" w:cs="仿宋"/>
          <w:sz w:val="32"/>
          <w:szCs w:val="32"/>
        </w:rPr>
        <w:t>，应及时处理，并在要求限期内向交办单位反馈处理情况和结果；如在限期内不能处理结案或正在处理者，应向交办单位说明承办情况。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第二章   受理与登记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第七条  综合科接到信访举报后，应详细作好相关记录，填写《信访举报处理情况登记表》等。其他科室接到信访举报，应及时转交综合科按规定处理。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第六条  综合科填写《信访举报处理情况登记表》等并提出拟办意见，及时（1日内）报局领导批示后移交相关科室办理。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第三章  调查处理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第七条  有关公共资源交易监管业务信访举报，承办科室应指定两名以上的执法人员负责调查处理。工作人员如发现信访举报同本人有利害关系，应主动申请回避。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第八条  负责调查处理的工作人员应及时（3日内）开展调查工作，本着公平、公正的原则，注重证据的收集，注重法律程序。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第九条  调查处理工作应当自受理之日起三十日内得出明确结论。情况复杂的，经分管领导批准，可以适当延长调查处理期限，但延长期限不得超过二十日。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第十条  凡查实确有违法行为的应及时立案，按法定程序依法处理。经调查核实，未发现被信访举报人有违法行为的，应对调查情况作详细记录。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第四章  反馈与结案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  第十一条 承办科室一般应在调查处理后三个工作日内完成调查终结报告，经分管领导审批后，向信访举报人反馈调查处理情况。反馈的方式可以为电话或书面，并做好记录。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第十二条 凡受理的信访举报案件一般应自受理之日起两个月内结案。情况复杂的，经分管领导批准，可以延长办结期限，但延长期限不得超过一个月。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第十三条 信访举报案件结案后，承办科室应将所有相关资料收集完整，报分管领导审核同意后结案，同时将调查处理材料交综合科归档保管。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第五章  责任与考核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第十四条  工作人员在处理信访举报案件过程中应做好保密工作，对信访举报材料严格保管，严禁泄露事件发生。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第十五条  信访举报案件调查处理工作实行责任追究制，各科室负责人为第一责任人。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第十六条  受理和承办人员有下列行为之一的，根据情节轻重给予批评教育或行政处分；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（一） 漏记、漏报信访举报案件的；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（二） 丢失、隐匿、毁坏信访举报材料的；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（三） 调查处理信访举报不及时、甚至不调查、不反馈的；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（四） 处理结果不合法、不公平、不公正的；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（五） 将信访举报者提交的材料或信访举报内容，转交、泄露给被信访举报单位或个人的。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第六章  其  他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十七</w:t>
      </w:r>
      <w:r>
        <w:rPr>
          <w:rFonts w:hint="eastAsia" w:ascii="仿宋" w:hAnsi="仿宋" w:eastAsia="仿宋" w:cs="仿宋"/>
          <w:sz w:val="32"/>
          <w:szCs w:val="32"/>
        </w:rPr>
        <w:t>条  本规定自颁发之日起执行，由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局综合科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o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夜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2AF6"/>
    <w:rsid w:val="4178306D"/>
    <w:rsid w:val="422700FC"/>
    <w:rsid w:val="67252EB2"/>
    <w:rsid w:val="721D52BC"/>
    <w:rsid w:val="76C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0" w:firstLineChars="0"/>
      <w:jc w:val="both"/>
    </w:pPr>
    <w:rPr>
      <w:rFonts w:hint="eastAsia" w:ascii="宋体" w:hAnsi="Courier New" w:eastAsia="宋体" w:cs="Times New Roman"/>
      <w:kern w:val="2"/>
      <w:sz w:val="21"/>
      <w:szCs w:val="24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ggzyj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2018-11-29T09:06:00Z</dcterms:created>
  <dc:creator>综合科</dc:creator>
  <cp:lastModifiedBy>admin</cp:lastModifiedBy>
  <cp:lastPrinted>2018-12-05T08:17:00Z</cp:lastPrinted>
  <dcterms:modified xsi:type="dcterms:W3CDTF">2019-04-11T07:31:24Z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